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1" w:rsidRPr="007F049B" w:rsidRDefault="00AF67E1" w:rsidP="00DB2F55">
      <w:pPr>
        <w:jc w:val="center"/>
        <w:rPr>
          <w:sz w:val="32"/>
          <w:szCs w:val="32"/>
        </w:rPr>
      </w:pPr>
    </w:p>
    <w:p w:rsidR="006528DB" w:rsidRPr="007F049B" w:rsidRDefault="006528DB" w:rsidP="006528DB">
      <w:pPr>
        <w:rPr>
          <w:sz w:val="32"/>
          <w:szCs w:val="32"/>
        </w:rPr>
      </w:pPr>
      <w:bookmarkStart w:id="0" w:name="NHG"/>
    </w:p>
    <w:p w:rsidR="005714C4" w:rsidRPr="007F049B" w:rsidRDefault="006528DB" w:rsidP="00637F20">
      <w:pPr>
        <w:jc w:val="center"/>
        <w:rPr>
          <w:sz w:val="32"/>
          <w:szCs w:val="32"/>
        </w:rPr>
      </w:pPr>
      <w:r w:rsidRPr="007F049B">
        <w:rPr>
          <w:sz w:val="32"/>
          <w:szCs w:val="32"/>
        </w:rPr>
        <w:t>Actuele rentes van geldverstrekkers bij NHG</w:t>
      </w:r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5509"/>
        <w:gridCol w:w="2371"/>
      </w:tblGrid>
      <w:tr w:rsidR="007F049B" w:rsidRPr="007F049B" w:rsidTr="007F049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hAnsi="Symbol" w:cs="Arial"/>
                <w:szCs w:val="20"/>
                <w:lang w:eastAsia="nl-NL"/>
              </w:rPr>
              <w:t></w:t>
            </w:r>
            <w:r w:rsidRPr="007F049B">
              <w:rPr>
                <w:rFonts w:eastAsia="Times New Roman" w:cs="Arial"/>
                <w:szCs w:val="20"/>
                <w:lang w:eastAsia="nl-NL"/>
              </w:rPr>
              <w:t xml:space="preserve">  </w:t>
            </w:r>
            <w:r w:rsidRPr="007F049B">
              <w:rPr>
                <w:rFonts w:eastAsia="Times New Roman" w:cs="Arial"/>
                <w:b/>
                <w:bCs/>
                <w:sz w:val="27"/>
                <w:szCs w:val="27"/>
                <w:lang w:eastAsia="nl-NL"/>
              </w:rPr>
              <w:t>NHG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proofErr w:type="spellStart"/>
            <w:r w:rsidRPr="007F049B">
              <w:rPr>
                <w:rFonts w:eastAsia="Times New Roman" w:cs="Arial"/>
                <w:b/>
                <w:bCs/>
                <w:sz w:val="27"/>
                <w:szCs w:val="27"/>
                <w:lang w:eastAsia="nl-NL"/>
              </w:rPr>
              <w:t>Leningnaam</w:t>
            </w:r>
            <w:proofErr w:type="spellEnd"/>
            <w:r w:rsidRPr="007F049B">
              <w:rPr>
                <w:rFonts w:eastAsia="Times New Roman" w:cs="Arial"/>
                <w:b/>
                <w:bCs/>
                <w:sz w:val="27"/>
                <w:szCs w:val="27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b/>
                <w:bCs/>
                <w:sz w:val="27"/>
                <w:szCs w:val="27"/>
                <w:lang w:eastAsia="nl-NL"/>
              </w:rPr>
              <w:t xml:space="preserve">Rente percentage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Variabel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Centraal Beheer Thuis Hypotheek Annuïteit( 3-maands)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ASR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WelThuis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Lineaire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Lineaire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basis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Lineaire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ABN AMRO Woning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Annuitair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ABN AMRO Budget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Annuitair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Florius Profijt Drie + Drie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Florius Profijt Twaalf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MUNT - Aflossingsvrij hypotheek( 1-maands)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Nationale Nederlanden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hypotheek( 1-maands)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1,47%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1,57%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1,58%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Lloyds 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Centraal Beheer Thuis Hypotheek Lineair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Attens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Lineair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bijBouwe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Annuitair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ASR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WelThuis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Woonfonds Woongenot - Annuïteitenhypotheek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Profijt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hyp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1,10%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1,19%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1,35%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basis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ASR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WelThuis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Profijt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hyp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Watervilla - Lineaire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1,00%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1,40%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1,42%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3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ASR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WelThuis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Annuiteitenhypotheek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Spaarhypotheek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Attens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Aflossingsvrij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Profijt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hyp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Watervilla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1,44%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5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Lloyds 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ASR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WelThuis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Spaarhypotheek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bijBouwe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Annuitair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Lineaire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1,25%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1,34%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1,40%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6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Lloyds 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Watervilla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Lineair met ORV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1,20%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1,44%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1,47%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1,55%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7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Watervilla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bijBouwe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Annuitair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ASR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WelThuis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Annuiteitenhypotheek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1,49%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1,57%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1,59%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1,60%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lastRenderedPageBreak/>
              <w:t xml:space="preserve">9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Allianz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AEGON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LevenHypotheek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RaboBasis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Rabobank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Universal Life/Unit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Linked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1,70%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2,04%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2,05%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2,30%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7,00%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10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RaboBasis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- Groenhypotheek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Lloyds 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Venn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Profijt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hyp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Watervilla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- Woon Bewust Lineair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Spaarhypotheek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Nationale Nederlanden - Lineaire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1,77%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12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Venn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Aflossingsvrije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Profijt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hyp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Florius Profijt Drie + Drie - Lineaire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1,90%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2,029%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2,029%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2,04%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2,13%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2,20%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15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Lloyds Bank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Lineair met ORV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Obvion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Compact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- Woon Bewust Lineair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2,05%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2,09%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2,15%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2,15%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2,18%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2,26%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20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Spaarhypotheek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Lloyds 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ING Watervilla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- Woon Bewust Lineair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Woonfonds Woongenot - Annuïteitenhypotheek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Centraal Beheer Thuis Hypotheek Lineair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2,24%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2,25%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2,25%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2,25%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2,35%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2,38%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2,38%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2,39%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25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- Woon Bewust Lineair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Spaarhypotheek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Merius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Aflossingsvrije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MUNT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2,36%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2,53%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2,55%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2,60%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2,63% </w:t>
            </w:r>
          </w:p>
        </w:tc>
      </w:tr>
      <w:tr w:rsidR="007F049B" w:rsidRPr="007F049B" w:rsidTr="007F0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30 jaar vast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Allianz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Lloyds Bank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Woonfonds Woongenot - Lineaire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Hypotrust - Woon Bewust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Centraal Beheer Thuis Hypotheek Annuïteit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Argenta Hypotheek - </w:t>
            </w:r>
            <w:proofErr w:type="spellStart"/>
            <w:r w:rsidRPr="007F049B">
              <w:rPr>
                <w:rFonts w:eastAsia="Times New Roman" w:cs="Arial"/>
                <w:szCs w:val="20"/>
                <w:lang w:eastAsia="nl-NL"/>
              </w:rPr>
              <w:t>Annuiteiten</w:t>
            </w:r>
            <w:proofErr w:type="spellEnd"/>
            <w:r w:rsidRPr="007F049B">
              <w:rPr>
                <w:rFonts w:eastAsia="Times New Roman" w:cs="Arial"/>
                <w:szCs w:val="20"/>
                <w:lang w:eastAsia="nl-NL"/>
              </w:rPr>
              <w:t xml:space="preserve"> hypotheek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9B" w:rsidRPr="007F049B" w:rsidRDefault="007F049B" w:rsidP="007F049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nl-NL"/>
              </w:rPr>
            </w:pPr>
            <w:r w:rsidRPr="007F049B">
              <w:rPr>
                <w:rFonts w:eastAsia="Times New Roman" w:cs="Arial"/>
                <w:szCs w:val="20"/>
                <w:lang w:eastAsia="nl-NL"/>
              </w:rPr>
              <w:t xml:space="preserve">2,47%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2,50%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2,53%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2,53%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2,54% </w:t>
            </w:r>
            <w:r w:rsidRPr="007F049B">
              <w:rPr>
                <w:rFonts w:eastAsia="Times New Roman" w:cs="Arial"/>
                <w:szCs w:val="20"/>
                <w:lang w:eastAsia="nl-NL"/>
              </w:rPr>
              <w:br/>
              <w:t xml:space="preserve">2,55% </w:t>
            </w:r>
          </w:p>
        </w:tc>
      </w:tr>
    </w:tbl>
    <w:p w:rsidR="007F049B" w:rsidRPr="007F049B" w:rsidRDefault="007F049B" w:rsidP="007F049B">
      <w:pPr>
        <w:spacing w:after="0" w:line="240" w:lineRule="auto"/>
        <w:rPr>
          <w:rFonts w:eastAsia="Times New Roman" w:cs="Arial"/>
          <w:szCs w:val="20"/>
          <w:lang w:eastAsia="nl-NL"/>
        </w:rPr>
      </w:pPr>
      <w:r w:rsidRPr="007F049B">
        <w:rPr>
          <w:rFonts w:eastAsia="Times New Roman" w:cs="Arial"/>
          <w:szCs w:val="20"/>
          <w:lang w:eastAsia="nl-NL"/>
        </w:rPr>
        <w:pict>
          <v:rect id="_x0000_i1027" style="width:0;height:1.5pt" o:hralign="center" o:hrstd="t" o:hr="t" fillcolor="#a0a0a0" stroked="f"/>
        </w:pict>
      </w:r>
    </w:p>
    <w:p w:rsidR="00637F20" w:rsidRPr="007F049B" w:rsidRDefault="007F049B" w:rsidP="007F049B">
      <w:pPr>
        <w:spacing w:after="0" w:line="240" w:lineRule="auto"/>
        <w:rPr>
          <w:rFonts w:eastAsia="Times New Roman" w:cs="Arial"/>
          <w:szCs w:val="20"/>
          <w:lang w:eastAsia="nl-NL"/>
        </w:rPr>
      </w:pPr>
      <w:r w:rsidRPr="007F049B">
        <w:rPr>
          <w:rFonts w:eastAsia="Times New Roman" w:cs="Arial"/>
          <w:szCs w:val="20"/>
          <w:lang w:eastAsia="nl-NL"/>
        </w:rPr>
        <w:t>Datum laatste rente controle: vrijdag, 8 jun 2018 15:08:05</w:t>
      </w:r>
    </w:p>
    <w:p w:rsidR="00DB2F55" w:rsidRPr="007F049B" w:rsidRDefault="00DB2F55" w:rsidP="00D27482">
      <w:pPr>
        <w:rPr>
          <w:b/>
          <w:sz w:val="28"/>
          <w:szCs w:val="32"/>
        </w:rPr>
      </w:pPr>
      <w:bookmarkStart w:id="1" w:name="_GoBack"/>
      <w:bookmarkEnd w:id="1"/>
      <w:r w:rsidRPr="007F049B">
        <w:rPr>
          <w:b/>
          <w:sz w:val="18"/>
        </w:rPr>
        <w:t>Alle rentes zijn onder voorbehoud van typefouten, rentewijzigingen en/of programmeerfouten. Er kunnen geen enkele rechten aan dit overzicht worden onttrokken.</w:t>
      </w:r>
    </w:p>
    <w:sectPr w:rsidR="00DB2F55" w:rsidRPr="007F0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55" w:rsidRDefault="00DB2F55" w:rsidP="00DB2F55">
      <w:pPr>
        <w:spacing w:after="0" w:line="240" w:lineRule="auto"/>
      </w:pPr>
      <w:r>
        <w:separator/>
      </w:r>
    </w:p>
  </w:endnote>
  <w:endnote w:type="continuationSeparator" w:id="0">
    <w:p w:rsidR="00DB2F55" w:rsidRDefault="00DB2F55" w:rsidP="00DB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55" w:rsidRDefault="00DB2F55" w:rsidP="00DB2F55">
      <w:pPr>
        <w:spacing w:after="0" w:line="240" w:lineRule="auto"/>
      </w:pPr>
      <w:r>
        <w:separator/>
      </w:r>
    </w:p>
  </w:footnote>
  <w:footnote w:type="continuationSeparator" w:id="0">
    <w:p w:rsidR="00DB2F55" w:rsidRDefault="00DB2F55" w:rsidP="00DB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55" w:rsidRDefault="00AF67E1" w:rsidP="00DB2F55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4333875" y="447675"/>
          <wp:positionH relativeFrom="margin">
            <wp:align>left</wp:align>
          </wp:positionH>
          <wp:positionV relativeFrom="margin">
            <wp:align>top</wp:align>
          </wp:positionV>
          <wp:extent cx="2330450" cy="699135"/>
          <wp:effectExtent l="0" t="0" r="0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-ANDE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2F55" w:rsidRDefault="00DB2F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55"/>
    <w:rsid w:val="00053062"/>
    <w:rsid w:val="001744B9"/>
    <w:rsid w:val="00333E73"/>
    <w:rsid w:val="00424A03"/>
    <w:rsid w:val="004D7BED"/>
    <w:rsid w:val="005714C4"/>
    <w:rsid w:val="00571C80"/>
    <w:rsid w:val="005A55F0"/>
    <w:rsid w:val="00636562"/>
    <w:rsid w:val="00637F20"/>
    <w:rsid w:val="006528DB"/>
    <w:rsid w:val="00716EAF"/>
    <w:rsid w:val="007F049B"/>
    <w:rsid w:val="0081278E"/>
    <w:rsid w:val="00872C55"/>
    <w:rsid w:val="00956C40"/>
    <w:rsid w:val="00A74808"/>
    <w:rsid w:val="00AF5D22"/>
    <w:rsid w:val="00AF67E1"/>
    <w:rsid w:val="00BA2393"/>
    <w:rsid w:val="00C41538"/>
    <w:rsid w:val="00D27482"/>
    <w:rsid w:val="00DB2F55"/>
    <w:rsid w:val="00F90CF0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CF0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0CF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CF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0CF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0CF0"/>
    <w:rPr>
      <w:rFonts w:ascii="Arial" w:eastAsiaTheme="majorEastAsia" w:hAnsi="Arial" w:cstheme="majorBidi"/>
      <w:b/>
      <w:bCs/>
      <w:color w:val="1F497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0CF0"/>
    <w:rPr>
      <w:rFonts w:ascii="Arial" w:eastAsiaTheme="majorEastAsia" w:hAnsi="Arial" w:cstheme="majorBidi"/>
      <w:b/>
      <w:bCs/>
      <w:color w:val="1F497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0CF0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B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F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B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F5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CF0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0CF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CF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0CF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0CF0"/>
    <w:rPr>
      <w:rFonts w:ascii="Arial" w:eastAsiaTheme="majorEastAsia" w:hAnsi="Arial" w:cstheme="majorBidi"/>
      <w:b/>
      <w:bCs/>
      <w:color w:val="1F497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0CF0"/>
    <w:rPr>
      <w:rFonts w:ascii="Arial" w:eastAsiaTheme="majorEastAsia" w:hAnsi="Arial" w:cstheme="majorBidi"/>
      <w:b/>
      <w:bCs/>
      <w:color w:val="1F497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0CF0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B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F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B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F5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2018-03-06T12:40:00Z</cp:lastPrinted>
  <dcterms:created xsi:type="dcterms:W3CDTF">2018-06-08T16:05:00Z</dcterms:created>
  <dcterms:modified xsi:type="dcterms:W3CDTF">2018-06-08T16:05:00Z</dcterms:modified>
</cp:coreProperties>
</file>